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66CE685C" w:rsidR="009C45B6" w:rsidRPr="00957453" w:rsidRDefault="009C45B6" w:rsidP="009C45B6">
      <w:pPr>
        <w:pStyle w:val="Bezproreda"/>
        <w:rPr>
          <w:b/>
        </w:rPr>
      </w:pPr>
      <w:r w:rsidRPr="009C45B6">
        <w:t>Klasa: 406-01/2</w:t>
      </w:r>
      <w:r w:rsidR="004444C0">
        <w:t>2</w:t>
      </w:r>
      <w:r w:rsidRPr="009C45B6">
        <w:t>-01/</w:t>
      </w:r>
      <w:r w:rsidR="008315F8">
        <w:t>08</w:t>
      </w:r>
      <w:r w:rsidR="008315F8">
        <w:tab/>
      </w:r>
      <w:r w:rsidR="00957453">
        <w:tab/>
      </w:r>
      <w:r w:rsidR="00957453">
        <w:tab/>
      </w:r>
      <w:r w:rsidR="00957453">
        <w:tab/>
      </w:r>
      <w:r w:rsidR="00957453">
        <w:tab/>
      </w:r>
      <w:r w:rsidR="004444C0">
        <w:t xml:space="preserve">              </w:t>
      </w:r>
      <w:r w:rsidR="009243E1" w:rsidRPr="009243E1">
        <w:rPr>
          <w:b/>
        </w:rPr>
        <w:t>PUPO DUBROVNIK</w:t>
      </w:r>
    </w:p>
    <w:p w14:paraId="266084CD" w14:textId="273D7857" w:rsidR="009C45B6" w:rsidRPr="009243E1" w:rsidRDefault="009C45B6" w:rsidP="009243E1">
      <w:pPr>
        <w:pStyle w:val="Bezproreda"/>
        <w:rPr>
          <w:b/>
        </w:rPr>
      </w:pPr>
      <w:proofErr w:type="spellStart"/>
      <w:r w:rsidRPr="009C45B6">
        <w:t>Urbroj</w:t>
      </w:r>
      <w:proofErr w:type="spellEnd"/>
      <w:r w:rsidRPr="009C45B6">
        <w:t>: 2117/01-19-01-2</w:t>
      </w:r>
      <w:r w:rsidR="004444C0">
        <w:t>2</w:t>
      </w:r>
      <w:r w:rsidRPr="009C45B6">
        <w:t>-</w:t>
      </w:r>
      <w:r w:rsidR="00477F5F">
        <w:t>0</w:t>
      </w:r>
      <w:r w:rsidR="008315F8">
        <w:t>2</w:t>
      </w:r>
      <w:r w:rsidR="00957453">
        <w:tab/>
      </w:r>
      <w:r w:rsidR="00957453">
        <w:tab/>
      </w:r>
      <w:r w:rsidR="00957453">
        <w:tab/>
      </w:r>
      <w:r w:rsidR="00957453">
        <w:tab/>
      </w:r>
      <w:r w:rsidR="00957453">
        <w:tab/>
      </w:r>
      <w:r w:rsidR="009243E1" w:rsidRPr="009243E1">
        <w:rPr>
          <w:b/>
        </w:rPr>
        <w:t xml:space="preserve">Miha </w:t>
      </w:r>
      <w:proofErr w:type="spellStart"/>
      <w:r w:rsidR="009243E1" w:rsidRPr="009243E1">
        <w:rPr>
          <w:b/>
        </w:rPr>
        <w:t>Pracata</w:t>
      </w:r>
      <w:proofErr w:type="spellEnd"/>
      <w:r w:rsidR="009243E1" w:rsidRPr="009243E1">
        <w:rPr>
          <w:b/>
        </w:rPr>
        <w:t xml:space="preserve"> 8</w:t>
      </w:r>
    </w:p>
    <w:p w14:paraId="6C3C0778" w14:textId="2A9C5809" w:rsidR="009243E1" w:rsidRDefault="009C45B6" w:rsidP="009C45B6">
      <w:pPr>
        <w:pStyle w:val="Bezproreda"/>
        <w:rPr>
          <w:b/>
          <w:u w:val="single"/>
        </w:rPr>
      </w:pPr>
      <w:r w:rsidRPr="009C45B6">
        <w:t xml:space="preserve">Dubrovnik,  </w:t>
      </w:r>
      <w:r w:rsidR="004444C0">
        <w:t xml:space="preserve">30. prosinca </w:t>
      </w:r>
      <w:r w:rsidRPr="009C45B6">
        <w:t>202</w:t>
      </w:r>
      <w:r w:rsidR="004444C0">
        <w:t>2</w:t>
      </w:r>
      <w:r>
        <w:t>.g.</w:t>
      </w:r>
      <w:r w:rsidR="00957453">
        <w:tab/>
      </w:r>
      <w:r w:rsidR="00957453">
        <w:tab/>
      </w:r>
      <w:r w:rsidR="00957453">
        <w:tab/>
      </w:r>
      <w:r w:rsidR="00957453">
        <w:tab/>
      </w:r>
      <w:r w:rsidR="00957453" w:rsidRPr="00957453">
        <w:rPr>
          <w:b/>
          <w:u w:val="single"/>
        </w:rPr>
        <w:t>20 000 DUBROVNIK</w:t>
      </w:r>
    </w:p>
    <w:p w14:paraId="3E628EA3" w14:textId="1A6FC894" w:rsidR="009243E1" w:rsidRPr="009243E1" w:rsidRDefault="009243E1" w:rsidP="009C45B6">
      <w:pPr>
        <w:pStyle w:val="Bezproreda"/>
        <w:rPr>
          <w:b/>
        </w:rPr>
      </w:pPr>
      <w:r>
        <w:rPr>
          <w:b/>
        </w:rPr>
        <w:tab/>
      </w:r>
      <w:r>
        <w:rPr>
          <w:b/>
        </w:rPr>
        <w:tab/>
      </w:r>
      <w:r>
        <w:rPr>
          <w:b/>
        </w:rPr>
        <w:tab/>
      </w:r>
      <w:r>
        <w:rPr>
          <w:b/>
        </w:rPr>
        <w:tab/>
      </w:r>
      <w:r>
        <w:rPr>
          <w:b/>
        </w:rPr>
        <w:tab/>
      </w:r>
      <w:r>
        <w:rPr>
          <w:b/>
        </w:rPr>
        <w:tab/>
      </w:r>
      <w:r>
        <w:rPr>
          <w:b/>
        </w:rPr>
        <w:tab/>
      </w:r>
      <w:r>
        <w:rPr>
          <w:b/>
        </w:rPr>
        <w:tab/>
      </w:r>
      <w:r w:rsidR="00E74C7F">
        <w:rPr>
          <w:b/>
        </w:rPr>
        <w:t>E-mail: martina.kuznin@gmail.com</w:t>
      </w:r>
    </w:p>
    <w:p w14:paraId="472AFD2D" w14:textId="77777777" w:rsidR="009243E1" w:rsidRPr="00957453" w:rsidRDefault="009243E1" w:rsidP="009C45B6">
      <w:pPr>
        <w:pStyle w:val="Bezproreda"/>
        <w:rPr>
          <w:b/>
          <w:u w:val="single"/>
        </w:rPr>
      </w:pP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0" w:name="_Hlk57843478"/>
            <w:r w:rsidRPr="09D7F254">
              <w:rPr>
                <w:rFonts w:ascii="Calibri" w:eastAsia="Calibri" w:hAnsi="Calibri" w:cs="Calibri"/>
                <w:b/>
                <w:bCs/>
              </w:rPr>
              <w:t>Usluge dostavljanja pripremljene hrane (catering) u školu</w:t>
            </w:r>
            <w:bookmarkEnd w:id="0"/>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1" w:name="_Hlk57843525"/>
            <w:r w:rsidRPr="69CE3036">
              <w:rPr>
                <w:b/>
                <w:bCs/>
              </w:rPr>
              <w:t>Evidencijski broj nabave:</w:t>
            </w:r>
          </w:p>
        </w:tc>
        <w:tc>
          <w:tcPr>
            <w:tcW w:w="5745" w:type="dxa"/>
          </w:tcPr>
          <w:p w14:paraId="46908437" w14:textId="724B3D3E" w:rsidR="69CE3036" w:rsidRDefault="009F3027" w:rsidP="00C22290">
            <w:pPr>
              <w:rPr>
                <w:rFonts w:ascii="Calibri" w:eastAsia="Calibri" w:hAnsi="Calibri" w:cs="Calibri"/>
                <w:b/>
                <w:bCs/>
              </w:rPr>
            </w:pPr>
            <w:r>
              <w:rPr>
                <w:rFonts w:ascii="Calibri" w:eastAsia="Calibri" w:hAnsi="Calibri" w:cs="Calibri"/>
                <w:b/>
                <w:bCs/>
              </w:rPr>
              <w:t>4</w:t>
            </w:r>
            <w:r w:rsidR="00B77B10">
              <w:rPr>
                <w:rFonts w:ascii="Calibri" w:eastAsia="Calibri" w:hAnsi="Calibri" w:cs="Calibri"/>
                <w:b/>
                <w:bCs/>
              </w:rPr>
              <w:t>-202</w:t>
            </w:r>
            <w:r w:rsidR="00C22290">
              <w:rPr>
                <w:rFonts w:ascii="Calibri" w:eastAsia="Calibri" w:hAnsi="Calibri" w:cs="Calibri"/>
                <w:b/>
                <w:bCs/>
              </w:rPr>
              <w:t>2</w:t>
            </w:r>
          </w:p>
        </w:tc>
      </w:tr>
      <w:bookmarkEnd w:id="1"/>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4B796F28" w:rsidR="69CE3036" w:rsidRDefault="69CE3036" w:rsidP="00121E4F">
            <w:pPr>
              <w:rPr>
                <w:rFonts w:ascii="Calibri" w:eastAsia="Calibri" w:hAnsi="Calibri" w:cs="Calibri"/>
                <w:b/>
                <w:bCs/>
              </w:rPr>
            </w:pPr>
            <w:r w:rsidRPr="69CE3036">
              <w:rPr>
                <w:rFonts w:ascii="Calibri" w:eastAsia="Calibri" w:hAnsi="Calibri" w:cs="Calibri"/>
                <w:b/>
                <w:bCs/>
              </w:rPr>
              <w:t>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2B30DAA"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upućuje Poziv na dostavu ponude sukladno čl. 15. Zakona o javnoj nabavi („Narodne novine“ br. 120/16</w:t>
      </w:r>
      <w:r w:rsidR="004444C0">
        <w:t xml:space="preserve">, 114/22. </w:t>
      </w:r>
      <w:r>
        <w:t xml:space="preserve">)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CE817EC"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proofErr w:type="gramStart"/>
      <w:r w:rsidRPr="09D7F254">
        <w:rPr>
          <w:rFonts w:ascii="Calibri" w:eastAsia="Calibri" w:hAnsi="Calibri" w:cs="Calibri"/>
          <w:lang w:val="it"/>
        </w:rPr>
        <w:t>prezime:</w:t>
      </w:r>
      <w:r w:rsidR="009F3027">
        <w:rPr>
          <w:rFonts w:ascii="Calibri" w:eastAsia="Calibri" w:hAnsi="Calibri" w:cs="Calibri"/>
          <w:lang w:val="it"/>
        </w:rPr>
        <w:t>Ivana</w:t>
      </w:r>
      <w:proofErr w:type="spellEnd"/>
      <w:proofErr w:type="gramEnd"/>
      <w:r w:rsidR="009F3027">
        <w:rPr>
          <w:rFonts w:ascii="Calibri" w:eastAsia="Calibri" w:hAnsi="Calibri" w:cs="Calibri"/>
          <w:lang w:val="it"/>
        </w:rPr>
        <w:t xml:space="preserve"> </w:t>
      </w:r>
      <w:proofErr w:type="spellStart"/>
      <w:r w:rsidR="009F3027">
        <w:rPr>
          <w:rFonts w:ascii="Calibri" w:eastAsia="Calibri" w:hAnsi="Calibri" w:cs="Calibri"/>
          <w:lang w:val="it"/>
        </w:rPr>
        <w:t>Radić</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2DB03A17"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w:t>
      </w:r>
      <w:r w:rsidR="009F3027">
        <w:rPr>
          <w:rFonts w:ascii="Calibri" w:eastAsia="Calibri" w:hAnsi="Calibri" w:cs="Calibri"/>
          <w:lang w:val="it"/>
        </w:rPr>
        <w:t>ivana.duic</w:t>
      </w:r>
      <w:r w:rsidR="00647BE3">
        <w:rPr>
          <w:rFonts w:ascii="Calibri" w:eastAsia="Calibri" w:hAnsi="Calibri" w:cs="Calibri"/>
          <w:lang w:val="it"/>
        </w:rPr>
        <w:t>@skole.hr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7736E589"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9F3027">
        <w:rPr>
          <w:rFonts w:ascii="Calibri" w:eastAsia="Calibri" w:hAnsi="Calibri" w:cs="Calibri"/>
          <w:b/>
          <w:bCs/>
          <w:lang w:val="hr"/>
        </w:rPr>
        <w:t>3</w:t>
      </w:r>
      <w:r w:rsidRPr="000E1DA2">
        <w:rPr>
          <w:rFonts w:ascii="Calibri" w:eastAsia="Calibri" w:hAnsi="Calibri" w:cs="Calibri"/>
          <w:b/>
          <w:bCs/>
          <w:lang w:val="hr"/>
        </w:rPr>
        <w:t xml:space="preserve">. do </w:t>
      </w:r>
      <w:r w:rsidR="002507CB">
        <w:rPr>
          <w:rFonts w:ascii="Calibri" w:eastAsia="Calibri" w:hAnsi="Calibri" w:cs="Calibri"/>
          <w:b/>
          <w:bCs/>
          <w:lang w:val="hr"/>
        </w:rPr>
        <w:t>21</w:t>
      </w:r>
      <w:r w:rsidRPr="000E1DA2">
        <w:rPr>
          <w:rFonts w:ascii="Calibri" w:eastAsia="Calibri" w:hAnsi="Calibri" w:cs="Calibri"/>
          <w:b/>
          <w:bCs/>
          <w:lang w:val="hr"/>
        </w:rPr>
        <w:t>.</w:t>
      </w:r>
      <w:r w:rsidR="002507CB">
        <w:rPr>
          <w:rFonts w:ascii="Calibri" w:eastAsia="Calibri" w:hAnsi="Calibri" w:cs="Calibri"/>
          <w:b/>
          <w:bCs/>
          <w:lang w:val="hr"/>
        </w:rPr>
        <w:t>06</w:t>
      </w:r>
      <w:r w:rsidRPr="000E1DA2">
        <w:rPr>
          <w:rFonts w:ascii="Calibri" w:eastAsia="Calibri" w:hAnsi="Calibri" w:cs="Calibri"/>
          <w:b/>
          <w:bCs/>
          <w:lang w:val="hr"/>
        </w:rPr>
        <w:t>.202</w:t>
      </w:r>
      <w:r w:rsidR="002507CB">
        <w:rPr>
          <w:rFonts w:ascii="Calibri" w:eastAsia="Calibri" w:hAnsi="Calibri" w:cs="Calibri"/>
          <w:b/>
          <w:bCs/>
          <w:lang w:val="hr"/>
        </w:rPr>
        <w:t>3</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3197DA8F" w:rsidR="09D7F254" w:rsidRDefault="09D7F254" w:rsidP="000E1DA2">
      <w:pPr>
        <w:pStyle w:val="Bezproreda"/>
        <w:ind w:left="708"/>
        <w:rPr>
          <w:lang w:val="hr"/>
        </w:rPr>
      </w:pPr>
      <w:r w:rsidRPr="09D7F254">
        <w:rPr>
          <w:lang w:val="hr"/>
        </w:rPr>
        <w:t xml:space="preserve">R (jedinična cijena obroka bez PDV-a) x </w:t>
      </w:r>
      <w:r w:rsidR="002507CB">
        <w:rPr>
          <w:lang w:val="hr"/>
        </w:rPr>
        <w:t>37</w:t>
      </w:r>
      <w:r w:rsidRPr="09D7F254">
        <w:rPr>
          <w:lang w:val="hr"/>
        </w:rPr>
        <w:t xml:space="preserve"> korisnika x 1</w:t>
      </w:r>
      <w:r w:rsidR="002507CB">
        <w:rPr>
          <w:lang w:val="hr"/>
        </w:rPr>
        <w:t>01</w:t>
      </w:r>
      <w:r w:rsidRPr="09D7F254">
        <w:rPr>
          <w:lang w:val="hr"/>
        </w:rPr>
        <w:t xml:space="preserve"> nastavn</w:t>
      </w:r>
      <w:r w:rsidR="002507CB">
        <w:rPr>
          <w:lang w:val="hr"/>
        </w:rPr>
        <w:t>i dan</w:t>
      </w:r>
      <w:r w:rsidRPr="09D7F254">
        <w:rPr>
          <w:lang w:val="hr"/>
        </w:rPr>
        <w:t xml:space="preserve"> = ukupna cijena usluge bez PDV-a</w:t>
      </w:r>
      <w:r w:rsidR="000E1DA2">
        <w:rPr>
          <w:lang w:val="hr"/>
        </w:rPr>
        <w:t>,</w:t>
      </w:r>
    </w:p>
    <w:p w14:paraId="30CD4D5D" w14:textId="77777777" w:rsidR="00B8124D" w:rsidRDefault="000E1DA2" w:rsidP="000E1DA2">
      <w:pPr>
        <w:pStyle w:val="Bezproreda"/>
        <w:rPr>
          <w:lang w:val="hr"/>
        </w:rPr>
      </w:pPr>
      <w:r>
        <w:rPr>
          <w:lang w:val="hr"/>
        </w:rPr>
        <w:lastRenderedPageBreak/>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79328E10" w:rsidR="000E1DA2" w:rsidRDefault="09D7F254" w:rsidP="001F4A83">
      <w:pPr>
        <w:pStyle w:val="Bezproreda"/>
        <w:rPr>
          <w:lang w:val="hr"/>
        </w:rPr>
      </w:pPr>
      <w:r w:rsidRPr="09D7F254">
        <w:rPr>
          <w:lang w:val="hr"/>
        </w:rPr>
        <w:t>Ukupna cijena usluge čini sveukupan iznos ponude izražen za razdoblje od 01.01.202</w:t>
      </w:r>
      <w:r w:rsidR="00C22290">
        <w:rPr>
          <w:lang w:val="hr"/>
        </w:rPr>
        <w:t>2</w:t>
      </w:r>
      <w:r w:rsidRPr="09D7F254">
        <w:rPr>
          <w:lang w:val="hr"/>
        </w:rPr>
        <w:t>. godine do</w:t>
      </w:r>
      <w:r w:rsidR="002507CB">
        <w:rPr>
          <w:lang w:val="hr"/>
        </w:rPr>
        <w:t xml:space="preserve"> 21.06.2023.</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4BDC9A9A"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2507CB">
        <w:rPr>
          <w:rFonts w:ascii="Calibri" w:eastAsia="Calibri" w:hAnsi="Calibri" w:cs="Calibri"/>
          <w:lang w:val="hr"/>
        </w:rPr>
        <w:t>21.06</w:t>
      </w:r>
      <w:r w:rsidR="00F33FD0">
        <w:rPr>
          <w:rFonts w:ascii="Calibri" w:eastAsia="Calibri" w:hAnsi="Calibri" w:cs="Calibri"/>
          <w:lang w:val="hr"/>
        </w:rPr>
        <w:t>.202</w:t>
      </w:r>
      <w:r w:rsidR="009F3027">
        <w:rPr>
          <w:rFonts w:ascii="Calibri" w:eastAsia="Calibri" w:hAnsi="Calibri" w:cs="Calibri"/>
          <w:lang w:val="hr"/>
        </w:rPr>
        <w:t>3</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2.9  Ostali bitni podaci</w:t>
      </w:r>
    </w:p>
    <w:p w14:paraId="38E29E4D" w14:textId="251C651D"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w:t>
      </w:r>
      <w:r w:rsidR="00EE41BF">
        <w:rPr>
          <w:rFonts w:ascii="Calibri" w:eastAsia="Calibri" w:hAnsi="Calibri" w:cs="Calibri"/>
          <w:lang w:val="hr"/>
        </w:rPr>
        <w:t>2022.</w:t>
      </w:r>
      <w:r w:rsidRPr="09D7F254">
        <w:rPr>
          <w:rFonts w:ascii="Calibri" w:eastAsia="Calibri" w:hAnsi="Calibri" w:cs="Calibri"/>
          <w:lang w:val="hr"/>
        </w:rPr>
        <w:t xml:space="preserve">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4BA5FADA"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w:t>
      </w:r>
      <w:r w:rsidR="002507CB">
        <w:t>nja Poziva za dostavu ponuda – 04.siječnja</w:t>
      </w:r>
      <w:r w:rsidRPr="008360B6">
        <w:t xml:space="preserve"> </w:t>
      </w:r>
      <w:r w:rsidR="002507CB">
        <w:t>2023.g.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lastRenderedPageBreak/>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lastRenderedPageBreak/>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131CEA5B" w:rsidR="00FA3289" w:rsidRDefault="00FA3289" w:rsidP="009307AA">
      <w:pPr>
        <w:jc w:val="both"/>
      </w:pPr>
      <w:r>
        <w:t xml:space="preserve">Ponuda se dostavlja elektroničkim putem na sljedeću e-mail adresu: </w:t>
      </w:r>
      <w:r w:rsidR="00EE41BF">
        <w:t>ivana.duic</w:t>
      </w:r>
      <w:r w:rsidR="00676DE5">
        <w:t>@skole.hr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667AE6DE"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9F3027">
        <w:rPr>
          <w:rFonts w:ascii="Calibri" w:eastAsia="Calibri" w:hAnsi="Calibri" w:cs="Calibri"/>
        </w:rPr>
        <w:t>4</w:t>
      </w:r>
      <w:r w:rsidR="009307AA" w:rsidRPr="009307AA">
        <w:rPr>
          <w:rFonts w:ascii="Calibri" w:eastAsia="Calibri" w:hAnsi="Calibri" w:cs="Calibri"/>
        </w:rPr>
        <w:t>-202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3C06783F" w:rsidR="00FA3289" w:rsidRPr="00CF1E96" w:rsidRDefault="00FA3289" w:rsidP="266DB74D">
      <w:pPr>
        <w:rPr>
          <w:rFonts w:ascii="Calibri" w:eastAsia="Calibri" w:hAnsi="Calibri" w:cs="Calibri"/>
          <w:b/>
        </w:rPr>
      </w:pPr>
      <w:r w:rsidRPr="00CF1E96">
        <w:rPr>
          <w:b/>
        </w:rPr>
        <w:t>Krajnji rok za dostavu ponuda je:</w:t>
      </w:r>
      <w:r w:rsidR="009D545D">
        <w:rPr>
          <w:b/>
        </w:rPr>
        <w:t>12</w:t>
      </w:r>
      <w:bookmarkStart w:id="2" w:name="_GoBack"/>
      <w:bookmarkEnd w:id="2"/>
      <w:r w:rsidR="00EE41BF">
        <w:rPr>
          <w:b/>
        </w:rPr>
        <w:t xml:space="preserve">. siječnja 2023. </w:t>
      </w:r>
      <w:r w:rsidR="007F2635" w:rsidRPr="00CF1E96">
        <w:rPr>
          <w:b/>
        </w:rPr>
        <w:t>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3CC9B86C" w:rsidR="008E7CDE" w:rsidRPr="00C57D99" w:rsidRDefault="009F3027" w:rsidP="00C22290">
            <w:pPr>
              <w:rPr>
                <w:rFonts w:ascii="Calibri" w:eastAsia="Calibri" w:hAnsi="Calibri" w:cs="Calibri"/>
                <w:b/>
                <w:bCs/>
              </w:rPr>
            </w:pPr>
            <w:r>
              <w:rPr>
                <w:rFonts w:ascii="Calibri" w:eastAsia="Calibri" w:hAnsi="Calibri" w:cs="Calibri"/>
                <w:b/>
                <w:bCs/>
              </w:rPr>
              <w:t>4</w:t>
            </w:r>
            <w:r w:rsidR="00A24055">
              <w:rPr>
                <w:rFonts w:ascii="Calibri" w:eastAsia="Calibri" w:hAnsi="Calibri" w:cs="Calibri"/>
                <w:b/>
                <w:bCs/>
              </w:rPr>
              <w:t>-202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2310112B" w:rsidR="00EC5DA1" w:rsidRDefault="00474B56" w:rsidP="00121E4F">
            <w:pPr>
              <w:pStyle w:val="Bezproreda"/>
              <w:jc w:val="center"/>
              <w:rPr>
                <w:bCs/>
                <w:sz w:val="28"/>
                <w:szCs w:val="28"/>
              </w:rPr>
            </w:pPr>
            <w:r>
              <w:rPr>
                <w:bCs/>
                <w:sz w:val="28"/>
                <w:szCs w:val="28"/>
              </w:rPr>
              <w:t>37</w:t>
            </w:r>
          </w:p>
        </w:tc>
        <w:tc>
          <w:tcPr>
            <w:tcW w:w="1220" w:type="dxa"/>
          </w:tcPr>
          <w:p w14:paraId="3036C7B6" w14:textId="77777777" w:rsidR="00ED420A" w:rsidRDefault="00ED420A" w:rsidP="00ED420A">
            <w:pPr>
              <w:pStyle w:val="Bezproreda"/>
              <w:jc w:val="center"/>
              <w:rPr>
                <w:bCs/>
                <w:sz w:val="28"/>
                <w:szCs w:val="28"/>
              </w:rPr>
            </w:pPr>
          </w:p>
          <w:p w14:paraId="78D32644" w14:textId="1D2F134F" w:rsidR="00EC5DA1" w:rsidRDefault="002507CB" w:rsidP="008E50BE">
            <w:pPr>
              <w:pStyle w:val="Bezproreda"/>
              <w:jc w:val="center"/>
              <w:rPr>
                <w:bCs/>
                <w:sz w:val="28"/>
                <w:szCs w:val="28"/>
              </w:rPr>
            </w:pPr>
            <w:r>
              <w:rPr>
                <w:bCs/>
                <w:sz w:val="28"/>
                <w:szCs w:val="28"/>
              </w:rPr>
              <w:t>101</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2F4BBA29" w:rsidR="00BE49BF" w:rsidRPr="00EC5DA1" w:rsidRDefault="00ED420A" w:rsidP="000803DC">
      <w:pPr>
        <w:pStyle w:val="Bezproreda"/>
        <w:rPr>
          <w:bCs/>
          <w:sz w:val="28"/>
          <w:szCs w:val="28"/>
        </w:rPr>
      </w:pPr>
      <w:r>
        <w:rPr>
          <w:bCs/>
          <w:sz w:val="28"/>
          <w:szCs w:val="28"/>
        </w:rPr>
        <w:t xml:space="preserve">PDV </w:t>
      </w:r>
      <w:r w:rsidR="003E6448">
        <w:rPr>
          <w:bCs/>
          <w:sz w:val="28"/>
          <w:szCs w:val="28"/>
        </w:rPr>
        <w:t>13</w:t>
      </w:r>
      <w:r>
        <w:rPr>
          <w:bCs/>
          <w:sz w:val="28"/>
          <w:szCs w:val="28"/>
        </w:rPr>
        <w:t>%</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54C7C405"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EA251A">
        <w:rPr>
          <w:rFonts w:ascii="Times New Roman" w:hAnsi="Times New Roman" w:cs="Times New Roman"/>
          <w:sz w:val="23"/>
          <w:szCs w:val="23"/>
        </w:rPr>
        <w:t>37</w:t>
      </w:r>
      <w:r w:rsidR="002507CB">
        <w:rPr>
          <w:rFonts w:ascii="Times New Roman" w:hAnsi="Times New Roman" w:cs="Times New Roman"/>
          <w:sz w:val="23"/>
          <w:szCs w:val="23"/>
        </w:rPr>
        <w:t xml:space="preserve"> djece i 101</w:t>
      </w:r>
      <w:r>
        <w:rPr>
          <w:rFonts w:ascii="Times New Roman" w:hAnsi="Times New Roman" w:cs="Times New Roman"/>
          <w:sz w:val="23"/>
          <w:szCs w:val="23"/>
        </w:rPr>
        <w:t xml:space="preserve">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4E1E641B"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5969E6">
        <w:rPr>
          <w:rFonts w:ascii="Calibri" w:eastAsia="Calibri" w:hAnsi="Calibri" w:cs="Calibri"/>
          <w:b/>
          <w:bCs/>
        </w:rPr>
        <w:t>4</w:t>
      </w:r>
      <w:r w:rsidR="00A24055">
        <w:rPr>
          <w:rFonts w:ascii="Calibri" w:eastAsia="Calibri" w:hAnsi="Calibri" w:cs="Calibri"/>
          <w:b/>
          <w:bCs/>
        </w:rPr>
        <w:t>-202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120240"/>
    <w:rsid w:val="00121E4F"/>
    <w:rsid w:val="00186746"/>
    <w:rsid w:val="001B3CF0"/>
    <w:rsid w:val="001B581B"/>
    <w:rsid w:val="001F4A83"/>
    <w:rsid w:val="00235CDE"/>
    <w:rsid w:val="002507CB"/>
    <w:rsid w:val="00296C34"/>
    <w:rsid w:val="00387E83"/>
    <w:rsid w:val="003D4F85"/>
    <w:rsid w:val="003D7FFE"/>
    <w:rsid w:val="003E6448"/>
    <w:rsid w:val="004444C0"/>
    <w:rsid w:val="00464BF0"/>
    <w:rsid w:val="00465761"/>
    <w:rsid w:val="00474B56"/>
    <w:rsid w:val="00477F5F"/>
    <w:rsid w:val="004C7D7B"/>
    <w:rsid w:val="004D6276"/>
    <w:rsid w:val="004E3783"/>
    <w:rsid w:val="005237BD"/>
    <w:rsid w:val="00531646"/>
    <w:rsid w:val="00564D6E"/>
    <w:rsid w:val="00590DA0"/>
    <w:rsid w:val="005969E6"/>
    <w:rsid w:val="00647BE3"/>
    <w:rsid w:val="0066320B"/>
    <w:rsid w:val="00676DE5"/>
    <w:rsid w:val="00690579"/>
    <w:rsid w:val="006E0BD1"/>
    <w:rsid w:val="00720A4A"/>
    <w:rsid w:val="00746230"/>
    <w:rsid w:val="00746EDD"/>
    <w:rsid w:val="00760736"/>
    <w:rsid w:val="007A6550"/>
    <w:rsid w:val="007D50C6"/>
    <w:rsid w:val="007F2635"/>
    <w:rsid w:val="008315F8"/>
    <w:rsid w:val="008360B6"/>
    <w:rsid w:val="008B0EB0"/>
    <w:rsid w:val="008E50BE"/>
    <w:rsid w:val="008E7CDE"/>
    <w:rsid w:val="009243E1"/>
    <w:rsid w:val="009307AA"/>
    <w:rsid w:val="00957453"/>
    <w:rsid w:val="009C45B6"/>
    <w:rsid w:val="009D545D"/>
    <w:rsid w:val="009F00CA"/>
    <w:rsid w:val="009F3027"/>
    <w:rsid w:val="00A24055"/>
    <w:rsid w:val="00AF7704"/>
    <w:rsid w:val="00B26E1B"/>
    <w:rsid w:val="00B77B10"/>
    <w:rsid w:val="00B8124D"/>
    <w:rsid w:val="00BE2894"/>
    <w:rsid w:val="00BE49BF"/>
    <w:rsid w:val="00C1722E"/>
    <w:rsid w:val="00C22290"/>
    <w:rsid w:val="00C57D99"/>
    <w:rsid w:val="00C72B5E"/>
    <w:rsid w:val="00CF1E96"/>
    <w:rsid w:val="00CF69BE"/>
    <w:rsid w:val="00CF6F60"/>
    <w:rsid w:val="00D54760"/>
    <w:rsid w:val="00D7375D"/>
    <w:rsid w:val="00DC2AF2"/>
    <w:rsid w:val="00DC3880"/>
    <w:rsid w:val="00E524A2"/>
    <w:rsid w:val="00E62566"/>
    <w:rsid w:val="00E74C7F"/>
    <w:rsid w:val="00E74FDD"/>
    <w:rsid w:val="00E9417B"/>
    <w:rsid w:val="00EA251A"/>
    <w:rsid w:val="00EC5DA1"/>
    <w:rsid w:val="00ED420A"/>
    <w:rsid w:val="00EE41BF"/>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4444</Words>
  <Characters>25333</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17</cp:revision>
  <cp:lastPrinted>2021-12-16T15:04:00Z</cp:lastPrinted>
  <dcterms:created xsi:type="dcterms:W3CDTF">2021-12-16T15:09:00Z</dcterms:created>
  <dcterms:modified xsi:type="dcterms:W3CDTF">2023-01-04T10:02:00Z</dcterms:modified>
</cp:coreProperties>
</file>